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b/>
          <w:bCs/>
          <w:sz w:val="44"/>
          <w:szCs w:val="44"/>
          <w:lang w:eastAsia="zh-CN"/>
        </w:rPr>
      </w:pPr>
      <w:r>
        <w:rPr>
          <w:rFonts w:hint="eastAsia"/>
          <w:b/>
          <w:bCs/>
          <w:sz w:val="44"/>
          <w:szCs w:val="44"/>
          <w:lang w:eastAsia="zh-CN"/>
        </w:rPr>
        <w:t>中国工业新纪录申报项目公示</w:t>
      </w:r>
    </w:p>
    <w:p>
      <w:pPr>
        <w:pStyle w:val="style0"/>
        <w:jc w:val="center"/>
        <w:rPr>
          <w:rFonts w:hint="eastAsia"/>
          <w:b/>
          <w:bCs/>
          <w:sz w:val="44"/>
          <w:szCs w:val="44"/>
          <w:lang w:eastAsia="zh-CN"/>
        </w:rPr>
      </w:pPr>
    </w:p>
    <w:p>
      <w:pPr>
        <w:pStyle w:val="style0"/>
        <w:ind w:firstLine="640" w:firstLineChars="200"/>
        <w:rPr>
          <w:sz w:val="32"/>
          <w:szCs w:val="32"/>
        </w:rPr>
      </w:pPr>
      <w:r>
        <w:rPr>
          <w:rFonts w:hint="eastAsia"/>
          <w:sz w:val="32"/>
          <w:szCs w:val="32"/>
        </w:rPr>
        <w:t>依据</w:t>
      </w:r>
      <w:r>
        <w:rPr>
          <w:rFonts w:hint="eastAsia"/>
          <w:b w:val="false"/>
          <w:bCs w:val="false"/>
          <w:sz w:val="32"/>
          <w:szCs w:val="32"/>
        </w:rPr>
        <w:t>《中国工业新纪录申报办法和流程》</w:t>
      </w:r>
      <w:r>
        <w:rPr>
          <w:rFonts w:hint="eastAsia"/>
          <w:sz w:val="32"/>
          <w:szCs w:val="32"/>
        </w:rPr>
        <w:t>，经过企业自愿申报、行业初审、专家复审，现将</w:t>
      </w:r>
      <w:r>
        <w:rPr>
          <w:rFonts w:hint="eastAsia"/>
          <w:b/>
          <w:bCs/>
          <w:sz w:val="30"/>
          <w:szCs w:val="30"/>
          <w:lang w:eastAsia="zh-CN"/>
        </w:rPr>
        <w:t>上海申能电力科技有限公司</w:t>
      </w:r>
      <w:r>
        <w:rPr>
          <w:rFonts w:hint="eastAsia"/>
          <w:sz w:val="32"/>
          <w:szCs w:val="32"/>
        </w:rPr>
        <w:t>申报的</w:t>
      </w:r>
      <w:r>
        <w:rPr>
          <w:rFonts w:hint="eastAsia"/>
          <w:b/>
          <w:bCs/>
          <w:sz w:val="32"/>
          <w:szCs w:val="32"/>
        </w:rPr>
        <w:t>“</w:t>
      </w:r>
      <w:r>
        <w:rPr>
          <w:rFonts w:hint="eastAsia"/>
          <w:b/>
          <w:bCs/>
          <w:sz w:val="30"/>
          <w:szCs w:val="30"/>
          <w:lang w:eastAsia="zh-CN"/>
        </w:rPr>
        <w:t>先进安全环保的煤电机组20%深度调峰系列技术</w:t>
      </w:r>
      <w:r>
        <w:rPr>
          <w:rFonts w:hint="eastAsia"/>
          <w:b/>
          <w:bCs/>
          <w:sz w:val="32"/>
          <w:szCs w:val="32"/>
        </w:rPr>
        <w:t>”</w:t>
      </w:r>
      <w:r>
        <w:rPr>
          <w:rFonts w:hint="eastAsia"/>
          <w:sz w:val="32"/>
          <w:szCs w:val="32"/>
        </w:rPr>
        <w:t>项目予以公示（申报项目将按照企业上报时间顺序陆续公示）。公示期间如有异议，请向中国工业新纪录办公室反映。</w:t>
      </w:r>
    </w:p>
    <w:p>
      <w:pPr>
        <w:pStyle w:val="style0"/>
        <w:ind w:firstLine="640"/>
        <w:rPr>
          <w:rFonts w:hint="eastAsia"/>
          <w:sz w:val="32"/>
          <w:szCs w:val="32"/>
          <w:lang w:eastAsia="zh-CN"/>
        </w:rPr>
      </w:pPr>
      <w:r>
        <w:rPr>
          <w:rFonts w:hint="eastAsia"/>
          <w:sz w:val="32"/>
          <w:szCs w:val="32"/>
          <w:lang w:eastAsia="zh-CN"/>
        </w:rPr>
        <w:t>申报项目公示期为</w:t>
      </w:r>
      <w:r>
        <w:rPr>
          <w:rFonts w:hint="default"/>
          <w:sz w:val="32"/>
          <w:szCs w:val="32"/>
          <w:lang w:val="en-US" w:eastAsia="zh-CN"/>
        </w:rPr>
        <w:t>7</w:t>
      </w:r>
      <w:r>
        <w:rPr>
          <w:rFonts w:hint="eastAsia"/>
          <w:sz w:val="32"/>
          <w:szCs w:val="32"/>
          <w:lang w:eastAsia="zh-CN"/>
        </w:rPr>
        <w:t>天，公示期结束后如无异议将授予申报企业“中国工业新纪录”证书。</w:t>
      </w:r>
    </w:p>
    <w:p>
      <w:pPr>
        <w:pStyle w:val="style0"/>
        <w:ind w:firstLine="640"/>
        <w:rPr>
          <w:rFonts w:hint="eastAsia"/>
          <w:sz w:val="32"/>
          <w:szCs w:val="32"/>
          <w:lang w:eastAsia="zh-CN"/>
        </w:rPr>
      </w:pPr>
    </w:p>
    <w:p>
      <w:pPr>
        <w:pStyle w:val="style0"/>
        <w:rPr>
          <w:rFonts w:hint="eastAsia"/>
          <w:sz w:val="32"/>
          <w:szCs w:val="32"/>
          <w:lang w:eastAsia="zh-CN"/>
        </w:rPr>
      </w:pPr>
      <w:r>
        <w:rPr>
          <w:rFonts w:hint="eastAsia"/>
          <w:sz w:val="32"/>
          <w:szCs w:val="32"/>
          <w:lang w:eastAsia="zh-CN"/>
        </w:rPr>
        <w:t xml:space="preserve">    公示电话：（010）60516883  (010)67410601</w:t>
      </w:r>
    </w:p>
    <w:p>
      <w:pPr>
        <w:pStyle w:val="style0"/>
        <w:rPr>
          <w:sz w:val="32"/>
          <w:szCs w:val="32"/>
        </w:rPr>
      </w:pPr>
      <w:r>
        <w:rPr>
          <w:rFonts w:hint="default"/>
          <w:sz w:val="32"/>
          <w:szCs w:val="32"/>
          <w:lang w:val="en-US" w:eastAsia="zh-CN"/>
        </w:rPr>
        <w:t xml:space="preserve">    </w:t>
      </w:r>
      <w:r>
        <w:rPr>
          <w:rFonts w:hint="eastAsia"/>
          <w:sz w:val="32"/>
          <w:szCs w:val="32"/>
          <w:lang w:eastAsia="zh-CN"/>
        </w:rPr>
        <w:t>电子邮箱：</w:t>
      </w:r>
      <w:r>
        <w:rPr>
          <w:rFonts w:hint="default"/>
          <w:sz w:val="32"/>
          <w:szCs w:val="32"/>
          <w:lang w:val="en-US" w:eastAsia="zh-CN"/>
        </w:rPr>
        <w:t>mgd1688@126.com</w:t>
      </w:r>
    </w:p>
    <w:p>
      <w:pPr>
        <w:pStyle w:val="style0"/>
        <w:ind w:firstLineChars="200"/>
        <w:rPr>
          <w:sz w:val="32"/>
          <w:szCs w:val="32"/>
        </w:rPr>
      </w:pPr>
      <w:r>
        <w:rPr>
          <w:rFonts w:hint="eastAsia"/>
          <w:sz w:val="32"/>
          <w:szCs w:val="32"/>
          <w:lang w:eastAsia="zh-CN"/>
        </w:rPr>
        <w:t xml:space="preserve">传    真：（010）60516883    </w:t>
      </w:r>
    </w:p>
    <w:p>
      <w:pPr>
        <w:pStyle w:val="style0"/>
        <w:rPr>
          <w:rFonts w:hint="eastAsia"/>
          <w:sz w:val="32"/>
          <w:szCs w:val="32"/>
          <w:lang w:eastAsia="zh-CN"/>
        </w:rPr>
      </w:pPr>
      <w:r>
        <w:rPr>
          <w:rFonts w:hint="eastAsia"/>
          <w:sz w:val="32"/>
          <w:szCs w:val="32"/>
          <w:lang w:eastAsia="zh-CN"/>
        </w:rPr>
        <w:t xml:space="preserve">                                       </w:t>
      </w:r>
    </w:p>
    <w:p>
      <w:pPr>
        <w:pStyle w:val="style0"/>
        <w:rPr>
          <w:rFonts w:hint="default"/>
          <w:sz w:val="32"/>
          <w:szCs w:val="32"/>
          <w:lang w:val="en-US" w:eastAsia="zh-CN"/>
        </w:rPr>
      </w:pPr>
      <w:r>
        <w:rPr>
          <w:rFonts w:hint="default"/>
          <w:sz w:val="32"/>
          <w:szCs w:val="32"/>
          <w:lang w:val="en-US" w:eastAsia="zh-CN"/>
        </w:rPr>
        <w:t xml:space="preserve">                                     </w:t>
      </w:r>
      <w:r>
        <w:rPr>
          <w:rFonts w:hint="eastAsia"/>
          <w:sz w:val="32"/>
          <w:szCs w:val="32"/>
          <w:lang w:eastAsia="zh-CN"/>
        </w:rPr>
        <w:t>中国工业报社</w:t>
      </w:r>
    </w:p>
    <w:p>
      <w:pPr>
        <w:pStyle w:val="style0"/>
        <w:rPr>
          <w:sz w:val="32"/>
          <w:szCs w:val="32"/>
        </w:rPr>
      </w:pPr>
      <w:r>
        <w:rPr>
          <w:rFonts w:hint="default"/>
          <w:sz w:val="32"/>
          <w:szCs w:val="32"/>
          <w:lang w:val="en-US" w:eastAsia="zh-CN"/>
        </w:rPr>
        <w:t xml:space="preserve">                                   202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8</w:t>
      </w:r>
      <w:r>
        <w:rPr>
          <w:rFonts w:hint="eastAsia"/>
          <w:sz w:val="32"/>
          <w:szCs w:val="32"/>
          <w:lang w:eastAsia="zh-CN"/>
        </w:rPr>
        <w:t>月</w:t>
      </w:r>
      <w:r>
        <w:rPr>
          <w:rFonts w:hint="default"/>
          <w:sz w:val="32"/>
          <w:szCs w:val="32"/>
          <w:lang w:val="en-US" w:eastAsia="zh-CN"/>
        </w:rPr>
        <w:t>4</w:t>
      </w:r>
      <w:r>
        <w:rPr>
          <w:rFonts w:hint="eastAsia"/>
          <w:sz w:val="32"/>
          <w:szCs w:val="32"/>
          <w:lang w:eastAsia="zh-CN"/>
        </w:rPr>
        <w:t>日</w:t>
      </w:r>
    </w:p>
    <w:p>
      <w:pPr>
        <w:pStyle w:val="style0"/>
        <w:rPr>
          <w:sz w:val="32"/>
          <w:szCs w:val="32"/>
        </w:rPr>
      </w:pPr>
    </w:p>
    <w:p>
      <w:pPr>
        <w:pStyle w:val="style0"/>
        <w:rPr>
          <w:sz w:val="32"/>
          <w:szCs w:val="32"/>
        </w:rPr>
      </w:pPr>
    </w:p>
    <w:p>
      <w:pPr>
        <w:pStyle w:val="style0"/>
        <w:rPr>
          <w:sz w:val="32"/>
          <w:szCs w:val="32"/>
        </w:rPr>
      </w:pPr>
    </w:p>
    <w:p>
      <w:pPr>
        <w:pStyle w:val="style0"/>
        <w:rPr>
          <w:sz w:val="32"/>
          <w:szCs w:val="32"/>
        </w:rPr>
      </w:pPr>
    </w:p>
    <w:p>
      <w:pPr>
        <w:pStyle w:val="style0"/>
        <w:rPr>
          <w:sz w:val="32"/>
          <w:szCs w:val="32"/>
        </w:rPr>
      </w:pPr>
    </w:p>
    <w:p>
      <w:pPr>
        <w:pStyle w:val="style0"/>
        <w:rPr>
          <w:sz w:val="32"/>
          <w:szCs w:val="32"/>
        </w:rPr>
      </w:pPr>
    </w:p>
    <w:p>
      <w:pPr>
        <w:pStyle w:val="style0"/>
        <w:jc w:val="center"/>
        <w:rPr>
          <w:sz w:val="44"/>
          <w:szCs w:val="44"/>
        </w:rPr>
      </w:pPr>
      <w:r>
        <w:rPr>
          <w:rFonts w:hint="eastAsia"/>
          <w:sz w:val="44"/>
          <w:szCs w:val="44"/>
          <w:lang w:eastAsia="zh-CN"/>
        </w:rPr>
        <w:t>中国工业新纪录申报企业和项目</w:t>
      </w:r>
    </w:p>
    <w:p>
      <w:pPr>
        <w:pStyle w:val="style0"/>
        <w:rPr>
          <w:rFonts w:hint="eastAsia"/>
          <w:sz w:val="32"/>
          <w:szCs w:val="32"/>
          <w:lang w:eastAsia="zh-CN"/>
        </w:rPr>
      </w:pPr>
    </w:p>
    <w:p>
      <w:pPr>
        <w:pStyle w:val="style0"/>
        <w:ind w:firstLine="602" w:firstLineChars="200"/>
        <w:jc w:val="left"/>
        <w:rPr>
          <w:b/>
          <w:bCs/>
          <w:sz w:val="30"/>
          <w:szCs w:val="30"/>
        </w:rPr>
      </w:pPr>
      <w:r>
        <w:rPr>
          <w:rFonts w:hint="eastAsia"/>
          <w:b/>
          <w:bCs/>
          <w:sz w:val="30"/>
          <w:szCs w:val="30"/>
          <w:lang w:eastAsia="zh-CN"/>
        </w:rPr>
        <w:t>申报单位：上海申能电力科技有限公司</w:t>
      </w:r>
    </w:p>
    <w:p>
      <w:pPr>
        <w:pStyle w:val="style0"/>
        <w:ind w:firstLine="600" w:firstLineChars="200"/>
        <w:jc w:val="left"/>
        <w:rPr>
          <w:rFonts w:hint="eastAsia"/>
          <w:sz w:val="30"/>
          <w:szCs w:val="30"/>
          <w:lang w:eastAsia="zh-CN"/>
        </w:rPr>
      </w:pPr>
      <w:r>
        <w:rPr>
          <w:rFonts w:hint="eastAsia"/>
          <w:sz w:val="30"/>
          <w:szCs w:val="30"/>
          <w:lang w:eastAsia="zh-CN"/>
        </w:rPr>
        <w:t>申报项目名称：“先进安全环保的煤电机组20%深度调峰系列技术”</w:t>
      </w:r>
    </w:p>
    <w:p>
      <w:pPr>
        <w:pStyle w:val="style0"/>
        <w:ind w:firstLine="600" w:firstLineChars="200"/>
        <w:rPr>
          <w:rFonts w:hint="eastAsia"/>
          <w:sz w:val="30"/>
          <w:szCs w:val="30"/>
          <w:lang w:val="en-US" w:eastAsia="zh-CN"/>
        </w:rPr>
      </w:pPr>
      <w:r>
        <w:rPr>
          <w:rFonts w:hint="eastAsia"/>
          <w:sz w:val="30"/>
          <w:szCs w:val="30"/>
          <w:lang w:eastAsia="zh-CN"/>
        </w:rPr>
        <w:t>纪录指标：</w:t>
      </w:r>
      <w:r>
        <w:rPr>
          <w:rFonts w:hint="default"/>
          <w:sz w:val="30"/>
          <w:szCs w:val="30"/>
          <w:lang w:val="en-US" w:eastAsia="zh-CN"/>
        </w:rPr>
        <w:t>我国煤电机组深度调峰改造</w:t>
      </w:r>
      <w:r>
        <w:rPr>
          <w:rFonts w:hint="eastAsia"/>
          <w:sz w:val="30"/>
          <w:szCs w:val="30"/>
          <w:lang w:val="en-US" w:eastAsia="zh-CN"/>
        </w:rPr>
        <w:t>中</w:t>
      </w:r>
      <w:r>
        <w:rPr>
          <w:rFonts w:hint="default"/>
          <w:sz w:val="30"/>
          <w:szCs w:val="30"/>
          <w:lang w:val="en-US" w:eastAsia="zh-CN"/>
        </w:rPr>
        <w:t>超低负荷对于机组的安全、环保和可靠运行提出了巨大的、全方位的挑战</w:t>
      </w:r>
      <w:r>
        <w:rPr>
          <w:rFonts w:hint="eastAsia"/>
          <w:sz w:val="30"/>
          <w:szCs w:val="30"/>
          <w:lang w:val="en-US" w:eastAsia="zh-CN"/>
        </w:rPr>
        <w:t>。</w:t>
      </w:r>
      <w:r>
        <w:rPr>
          <w:rFonts w:hint="default"/>
          <w:sz w:val="30"/>
          <w:szCs w:val="30"/>
          <w:lang w:val="en-US" w:eastAsia="zh-CN"/>
        </w:rPr>
        <w:t>上海申能电力科技有限公司（申能科技）经过多年的研究与实践，已经研究出了包括广义回热系列技术、弹性回热技术、安全经济热电解耦系列技术等在内的深度调峰系列技术，能够安全环保可靠地实现机组20%深度调峰</w:t>
      </w:r>
      <w:r>
        <w:rPr>
          <w:rFonts w:hint="eastAsia"/>
          <w:sz w:val="30"/>
          <w:szCs w:val="30"/>
          <w:lang w:val="en-US" w:eastAsia="zh-CN"/>
        </w:rPr>
        <w:t>，</w:t>
      </w:r>
      <w:r>
        <w:rPr>
          <w:rFonts w:hint="default"/>
          <w:sz w:val="30"/>
          <w:szCs w:val="30"/>
          <w:lang w:val="en-US" w:eastAsia="zh-CN"/>
        </w:rPr>
        <w:t>完成了多项核心技术创新突破，刷新了全球行业数据</w:t>
      </w:r>
      <w:r>
        <w:rPr>
          <w:rFonts w:hint="eastAsia"/>
          <w:sz w:val="30"/>
          <w:szCs w:val="30"/>
          <w:lang w:val="en-US" w:eastAsia="zh-CN"/>
        </w:rPr>
        <w:t>。提前实现了国家科技部拟定的煤电科技发展2030年三大目标之一。</w:t>
      </w:r>
    </w:p>
    <w:p>
      <w:pPr>
        <w:pStyle w:val="style0"/>
        <w:ind w:firstLine="602" w:firstLineChars="200"/>
        <w:jc w:val="left"/>
        <w:rPr>
          <w:rFonts w:hint="eastAsia"/>
          <w:b/>
          <w:bCs/>
          <w:sz w:val="30"/>
          <w:szCs w:val="30"/>
          <w:lang w:eastAsia="zh-CN"/>
        </w:rPr>
      </w:pPr>
      <w:r>
        <w:rPr>
          <w:rFonts w:hint="eastAsia"/>
          <w:b/>
          <w:bCs/>
          <w:sz w:val="30"/>
          <w:szCs w:val="30"/>
          <w:lang w:eastAsia="zh-CN"/>
        </w:rPr>
        <w:t>项目</w:t>
      </w:r>
      <w:r>
        <w:rPr>
          <w:rFonts w:hint="eastAsia"/>
          <w:b/>
          <w:bCs/>
          <w:sz w:val="30"/>
          <w:szCs w:val="30"/>
          <w:lang w:val="en-US" w:eastAsia="zh-CN"/>
        </w:rPr>
        <w:t>介绍</w:t>
      </w:r>
      <w:r>
        <w:rPr>
          <w:rFonts w:hint="eastAsia"/>
          <w:b/>
          <w:bCs/>
          <w:sz w:val="30"/>
          <w:szCs w:val="30"/>
          <w:lang w:eastAsia="zh-CN"/>
        </w:rPr>
        <w:t>：</w:t>
      </w:r>
    </w:p>
    <w:p>
      <w:pPr>
        <w:pStyle w:val="style0"/>
        <w:ind w:firstLine="600" w:firstLineChars="200"/>
        <w:rPr>
          <w:rFonts w:hint="default"/>
          <w:sz w:val="30"/>
          <w:szCs w:val="30"/>
          <w:lang w:val="en-US" w:eastAsia="zh-CN"/>
        </w:rPr>
      </w:pPr>
      <w:r>
        <w:rPr>
          <w:rFonts w:hint="default"/>
          <w:sz w:val="30"/>
          <w:szCs w:val="30"/>
          <w:lang w:val="en-US" w:eastAsia="zh-CN"/>
        </w:rPr>
        <w:t>一、产品背景</w:t>
      </w:r>
    </w:p>
    <w:p>
      <w:pPr>
        <w:pStyle w:val="style0"/>
        <w:ind w:firstLine="600" w:firstLineChars="200"/>
        <w:rPr>
          <w:rFonts w:hint="default"/>
          <w:sz w:val="30"/>
          <w:szCs w:val="30"/>
          <w:lang w:val="en-US" w:eastAsia="zh-CN"/>
        </w:rPr>
      </w:pPr>
      <w:r>
        <w:rPr>
          <w:rFonts w:hint="default"/>
          <w:sz w:val="30"/>
          <w:szCs w:val="30"/>
          <w:lang w:val="en-US" w:eastAsia="zh-CN"/>
        </w:rPr>
        <w:t>“30/60双碳目标”及气候雄心峰会的阶段性目标表明，在未来，我国风电、光伏等低碳新能源将会加速发展。然而，“风光”新能源具有随机性、波动性、间歇性特点。这类新能源与常规机组不同，等效转动惯量几乎为零，有功调节（调频）及无功（电压）调节能力很差，在系统频率、电压大幅波动情况下还容易脱网。因此，新能源的大规模并网给电网安全稳定带来了巨大压力，且这类电源在电网中的比例越高，电网安全稳定运行的压力越大。</w:t>
      </w:r>
    </w:p>
    <w:p>
      <w:pPr>
        <w:pStyle w:val="style0"/>
        <w:ind w:firstLine="600" w:firstLineChars="200"/>
        <w:rPr>
          <w:rFonts w:hint="default"/>
          <w:sz w:val="30"/>
          <w:szCs w:val="30"/>
          <w:lang w:val="en-US" w:eastAsia="zh-CN"/>
        </w:rPr>
      </w:pPr>
      <w:r>
        <w:rPr>
          <w:rFonts w:hint="default"/>
          <w:sz w:val="30"/>
          <w:szCs w:val="30"/>
          <w:lang w:val="en-US" w:eastAsia="zh-CN"/>
        </w:rPr>
        <w:t>我国现役装机容量约11亿千瓦的火电机组调峰能力若能大幅度提升，将会相应大幅增加电网对新能源的消纳能力，进一步护航风光类新能源的发展，成为电网的“压舱石”，有利保障电网安全。《电力发展“十三五”规划》要求完成2.2亿千瓦的煤电机组灵活性改造目标。但截至2019年底，我国累计推动完成煤电灵活性改造约5775万千瓦，仅实现改造目标的25%左右。</w:t>
      </w:r>
    </w:p>
    <w:p>
      <w:pPr>
        <w:pStyle w:val="style0"/>
        <w:ind w:firstLine="600" w:firstLineChars="200"/>
        <w:rPr>
          <w:rFonts w:hint="default"/>
          <w:sz w:val="30"/>
          <w:szCs w:val="30"/>
          <w:lang w:val="en-US" w:eastAsia="zh-CN"/>
        </w:rPr>
      </w:pPr>
      <w:r>
        <w:rPr>
          <w:rFonts w:hint="default"/>
          <w:sz w:val="30"/>
          <w:szCs w:val="30"/>
          <w:lang w:val="en-US" w:eastAsia="zh-CN"/>
        </w:rPr>
        <w:t>二、创造水平</w:t>
      </w:r>
    </w:p>
    <w:p>
      <w:pPr>
        <w:pStyle w:val="style0"/>
        <w:ind w:firstLine="600" w:firstLineChars="200"/>
        <w:rPr>
          <w:rFonts w:hint="default"/>
          <w:sz w:val="30"/>
          <w:szCs w:val="30"/>
          <w:lang w:val="en-US" w:eastAsia="zh-CN"/>
        </w:rPr>
      </w:pPr>
      <w:r>
        <w:rPr>
          <w:rFonts w:hint="default"/>
          <w:sz w:val="30"/>
          <w:szCs w:val="30"/>
          <w:lang w:val="en-US" w:eastAsia="zh-CN"/>
        </w:rPr>
        <w:t>我国煤电机组深度调峰改造之所以进展明显低于预期，在技术层面的主要原因，是超低负荷对于机组的安全、环保和可靠运行提出了巨大的、全方位的挑战，这些挑战可以概括为锅炉水动力特性恶化、稳燃变差、SCR脱硝烟温过低、空预器冷端腐蚀堵塞、热电解耦、主机寿命折损和煤耗大幅升高等七方面问题。</w:t>
      </w:r>
    </w:p>
    <w:p>
      <w:pPr>
        <w:pStyle w:val="style0"/>
        <w:ind w:firstLine="600" w:firstLineChars="200"/>
        <w:rPr>
          <w:rFonts w:hint="default"/>
          <w:sz w:val="30"/>
          <w:szCs w:val="30"/>
          <w:lang w:val="en-US" w:eastAsia="zh-CN"/>
        </w:rPr>
      </w:pPr>
      <w:r>
        <w:rPr>
          <w:rFonts w:hint="default"/>
          <w:sz w:val="30"/>
          <w:szCs w:val="30"/>
          <w:lang w:val="en-US" w:eastAsia="zh-CN"/>
        </w:rPr>
        <w:t>针对这七个方面的问题，业内目前相当一部分解决方案是“头痛医头、脚痛医脚”，具有较强的局限性。例如，对于锅炉稳燃差问题，运行调整主要从配风方面入手，效果有限；燃烧器改造针对不同燃烧器有不同方案，有局限性；辅助燃烧投油或等离子助燃，高能耗高费用。在深调压力已经到来且会继续增加的压力下，不少机组在没有合适技术方案的无奈下，选择牺牲机组的经济性、设备的安全性来实现深度调峰，例如有些机组通过开旁路来实现锅炉热负荷与汽机电负荷的不匹配。这在某种程度上是得不偿失，也并不低碳。</w:t>
      </w:r>
    </w:p>
    <w:p>
      <w:pPr>
        <w:pStyle w:val="style0"/>
        <w:ind w:firstLine="600" w:firstLineChars="200"/>
        <w:rPr>
          <w:rFonts w:hint="default"/>
          <w:sz w:val="30"/>
          <w:szCs w:val="30"/>
          <w:lang w:val="en-US" w:eastAsia="zh-CN"/>
        </w:rPr>
      </w:pPr>
      <w:r>
        <w:rPr>
          <w:rFonts w:hint="default"/>
          <w:sz w:val="30"/>
          <w:szCs w:val="30"/>
          <w:lang w:val="en-US" w:eastAsia="zh-CN"/>
        </w:rPr>
        <w:t>针对上述问题，上海申能电力科技有限公司（申能科技）经过多年的研究与实践，已经研究出了包括广义回热系列技术、弹性回热技术、安全经济热电解耦系列技术等在内的深度调峰系列技术，能够安全环保可靠地实现机组20%深度调峰。这些技术具有如下创新点和优点：</w:t>
      </w:r>
    </w:p>
    <w:p>
      <w:pPr>
        <w:pStyle w:val="style0"/>
        <w:ind w:firstLine="600" w:firstLineChars="200"/>
        <w:rPr>
          <w:rFonts w:hint="default"/>
          <w:sz w:val="30"/>
          <w:szCs w:val="30"/>
          <w:lang w:val="en-US" w:eastAsia="zh-CN"/>
        </w:rPr>
      </w:pPr>
      <w:r>
        <w:rPr>
          <w:rFonts w:hint="default"/>
          <w:sz w:val="30"/>
          <w:szCs w:val="30"/>
          <w:lang w:val="en-US" w:eastAsia="zh-CN"/>
        </w:rPr>
        <w:t>首先是技术具有系统性。不同于常规技术的“头痛医头、脚痛医脚”，申能科技的深度调峰系列技术具有高度的系统性，体现在解决机组深度调峰工况的七方面问题时，把以锅炉和汽轮机为主的热力系统看成一个整体。以广义回热系列技术为例，从传统的以锅炉给水为回热媒介的经典回热循环，拓展为以锅炉输入的水、风、煤等均作为回热媒介的广义回热循环，不仅提高了机组的效率，还有效地提升了锅炉低负荷下稳燃性能。</w:t>
      </w:r>
    </w:p>
    <w:p>
      <w:pPr>
        <w:pStyle w:val="style0"/>
        <w:ind w:firstLine="600" w:firstLineChars="200"/>
        <w:rPr>
          <w:rFonts w:hint="default"/>
          <w:sz w:val="30"/>
          <w:szCs w:val="30"/>
          <w:lang w:val="en-US" w:eastAsia="zh-CN"/>
        </w:rPr>
      </w:pPr>
      <w:r>
        <w:rPr>
          <w:rFonts w:hint="default"/>
          <w:sz w:val="30"/>
          <w:szCs w:val="30"/>
          <w:lang w:val="en-US" w:eastAsia="zh-CN"/>
        </w:rPr>
        <w:t>其次是技术路线具有普适性，具体到某类甚至某台机组时又有定制化的技术方案。以弹性回热技术为例，其核心在于高压缸处选择一个合适的抽汽点，并相应增加一个抽汽可调的给水加热器，在负荷降低时，通过调节门可控制该加热器的入口压力基本不变，从而能使给水温度在一定负荷范围内保持在额定值。这样的技术路线对于各类机组均具有适用性，但是针对不同的机组情况和需求，其具体的技术方案又是不同的，这样能够达到最佳的改造效果。</w:t>
      </w:r>
    </w:p>
    <w:p>
      <w:pPr>
        <w:pStyle w:val="style0"/>
        <w:ind w:firstLine="600" w:firstLineChars="200"/>
        <w:rPr>
          <w:rFonts w:hint="default"/>
          <w:sz w:val="30"/>
          <w:szCs w:val="30"/>
          <w:lang w:val="en-US" w:eastAsia="zh-CN"/>
        </w:rPr>
      </w:pPr>
      <w:r>
        <w:rPr>
          <w:rFonts w:hint="default"/>
          <w:sz w:val="30"/>
          <w:szCs w:val="30"/>
          <w:lang w:val="en-US" w:eastAsia="zh-CN"/>
        </w:rPr>
        <w:t>三是深度调峰系列技术既可以和节能降耗系列技术（如高温亚临界技术）配套使用，在大幅提效的同时实现深度调峰，也可以根据机组需要相对独立地实现深度调峰功能。</w:t>
      </w:r>
    </w:p>
    <w:p>
      <w:pPr>
        <w:pStyle w:val="style0"/>
        <w:ind w:firstLine="600" w:firstLineChars="200"/>
        <w:rPr>
          <w:rFonts w:hint="default"/>
          <w:sz w:val="30"/>
          <w:szCs w:val="30"/>
          <w:lang w:val="en-US" w:eastAsia="zh-CN"/>
        </w:rPr>
      </w:pPr>
      <w:r>
        <w:rPr>
          <w:rFonts w:hint="default"/>
          <w:sz w:val="30"/>
          <w:szCs w:val="30"/>
          <w:lang w:val="en-US" w:eastAsia="zh-CN"/>
        </w:rPr>
        <w:t>2021年12月，申能电力科技委托上海科学技术情报研究所进行了“高温亚临界综合升级改造技术研究与应用”（先进安全环保的煤电机组20%深度调峰系列技术属于其中主要组成部分之一）查新，查新结论如下：</w:t>
      </w:r>
    </w:p>
    <w:p>
      <w:pPr>
        <w:pStyle w:val="style0"/>
        <w:ind w:firstLine="600" w:firstLineChars="200"/>
        <w:rPr>
          <w:rFonts w:hint="default"/>
          <w:sz w:val="30"/>
          <w:szCs w:val="30"/>
          <w:lang w:val="en-US" w:eastAsia="zh-CN"/>
        </w:rPr>
      </w:pPr>
      <w:r>
        <w:rPr>
          <w:rFonts w:hint="default"/>
          <w:sz w:val="30"/>
          <w:szCs w:val="30"/>
          <w:lang w:val="en-US" w:eastAsia="zh-CN"/>
        </w:rPr>
        <w:t>综上所述，该委托项目就高温亚临界综合升级改造技术及其应用展开研究，开发形成了一种亚临界机组的改造方法，改造后的高温亚临界机组的主再热蒸汽参数为16.7MPa/600℃/600℃，其在额定纯凝工况下（不带供热）的供电煤耗为285g/kWh，且具备20%深度调峰能力，除该委托项目单位自己、该委托项目参与人员发表的文献或述及该委托项目研究成果的文献外，国内外未见其他影响该委托项目新颖性的文献报道。</w:t>
      </w:r>
    </w:p>
    <w:p>
      <w:pPr>
        <w:pStyle w:val="style0"/>
        <w:ind w:firstLine="600" w:firstLineChars="200"/>
        <w:rPr>
          <w:rFonts w:hint="default"/>
          <w:sz w:val="30"/>
          <w:szCs w:val="30"/>
          <w:lang w:val="en-US" w:eastAsia="zh-CN"/>
        </w:rPr>
      </w:pPr>
      <w:r>
        <w:rPr>
          <w:rFonts w:hint="default"/>
          <w:sz w:val="30"/>
          <w:szCs w:val="30"/>
          <w:lang w:val="en-US" w:eastAsia="zh-CN"/>
        </w:rPr>
        <w:t>三、行业地位</w:t>
      </w:r>
    </w:p>
    <w:p>
      <w:pPr>
        <w:pStyle w:val="style0"/>
        <w:ind w:firstLine="600" w:firstLineChars="200"/>
        <w:rPr>
          <w:rFonts w:hint="default"/>
          <w:sz w:val="30"/>
          <w:szCs w:val="30"/>
          <w:lang w:val="en-US" w:eastAsia="zh-CN"/>
        </w:rPr>
      </w:pPr>
      <w:r>
        <w:rPr>
          <w:rFonts w:hint="default"/>
          <w:sz w:val="30"/>
          <w:szCs w:val="30"/>
          <w:lang w:val="en-US" w:eastAsia="zh-CN"/>
        </w:rPr>
        <w:t>“先进安全环保的煤电机组20%深度调峰系列技术”最早在上海外三电厂就有相关成功应用。早在2008年外三机组尚在调试期间，由于部分深调系列技术的加载，外三实现了单台磨不投油助燃带8.9%负荷（当时氮氧化物排放要求较为宽松，SCR系统并未投运），随后又解决了低负荷下水动力特性差的问题。</w:t>
      </w:r>
    </w:p>
    <w:p>
      <w:pPr>
        <w:pStyle w:val="style0"/>
        <w:ind w:firstLine="600" w:firstLineChars="200"/>
        <w:rPr>
          <w:rFonts w:ascii="Times New Roman" w:cs="Times New Roman" w:hAnsi="Times New Roman"/>
          <w:sz w:val="24"/>
          <w:szCs w:val="24"/>
        </w:rPr>
      </w:pPr>
      <w:r>
        <w:rPr>
          <w:rFonts w:hint="default"/>
          <w:sz w:val="30"/>
          <w:szCs w:val="30"/>
          <w:lang w:val="en-US" w:eastAsia="zh-CN"/>
        </w:rPr>
        <w:t>2019年，由申能科技实施的世界首例高温亚临界综合升级改造项目中，不仅实现了大幅提效，使得300MW等级亚临界汽轮机改造后煤耗水平达到现役超超临界机组较为先进水平（纯凝额定工况285g/kWh），节能量超过10%，而且同步实现了20%深度调峰认证。该认证试验由电网授权第三方机构完成，提前11年实现了国家科技部拟定的煤电科技发展2030年三大目标之一。相关主要指标如下表所示，值得指出的是，改造前受制于脱硝系统，机组能够达到的最低负荷仅为约55%负荷。</w:t>
      </w:r>
      <w:bookmarkStart w:id="0" w:name="_GoBack"/>
      <w:bookmarkEnd w:id="0"/>
    </w:p>
    <w:tbl>
      <w:tblPr>
        <w:tblStyle w:val="style105"/>
        <w:tblW w:w="7504" w:type="dxa"/>
        <w:jc w:val="center"/>
        <w:tblCellMar>
          <w:top w:w="0" w:type="dxa"/>
          <w:left w:w="0" w:type="dxa"/>
          <w:bottom w:w="0" w:type="dxa"/>
          <w:right w:w="0" w:type="dxa"/>
        </w:tblCellMar>
      </w:tblPr>
      <w:tblGrid>
        <w:gridCol w:w="3140"/>
        <w:gridCol w:w="2181"/>
        <w:gridCol w:w="2183"/>
      </w:tblGrid>
      <w:tr>
        <w:trPr>
          <w:trHeight w:val="90" w:hRule="atLeast"/>
          <w:jc w:val="center"/>
        </w:trPr>
        <w:tc>
          <w:tcPr>
            <w:tcW w:w="31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pPr>
              <w:pStyle w:val="style0"/>
              <w:spacing w:lineRule="auto" w:line="360"/>
              <w:ind w:firstLine="422" w:firstLineChars="200"/>
              <w:jc w:val="center"/>
              <w:rPr>
                <w:rFonts w:ascii="Times New Roman" w:cs="Times New Roman" w:hAnsi="Times New Roman"/>
                <w:szCs w:val="21"/>
              </w:rPr>
            </w:pPr>
            <w:r>
              <w:rPr>
                <w:rFonts w:ascii="Times New Roman" w:cs="Times New Roman" w:hAnsi="Times New Roman" w:hint="eastAsia"/>
                <w:b/>
                <w:bCs/>
                <w:szCs w:val="21"/>
              </w:rPr>
              <w:t>项目</w:t>
            </w:r>
          </w:p>
        </w:tc>
        <w:tc>
          <w:tcPr>
            <w:tcW w:w="218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pPr>
              <w:pStyle w:val="style0"/>
              <w:spacing w:lineRule="auto" w:line="360"/>
              <w:ind w:firstLine="422" w:firstLineChars="200"/>
              <w:jc w:val="center"/>
              <w:rPr>
                <w:rFonts w:ascii="Times New Roman" w:cs="Times New Roman" w:hAnsi="Times New Roman"/>
                <w:szCs w:val="21"/>
              </w:rPr>
            </w:pPr>
            <w:r>
              <w:rPr>
                <w:rFonts w:ascii="Times New Roman" w:cs="Times New Roman" w:hAnsi="Times New Roman" w:hint="eastAsia"/>
                <w:b/>
                <w:bCs/>
                <w:szCs w:val="21"/>
              </w:rPr>
              <w:t>标准</w:t>
            </w:r>
          </w:p>
        </w:tc>
        <w:tc>
          <w:tcPr>
            <w:tcW w:w="21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pPr>
              <w:pStyle w:val="style0"/>
              <w:spacing w:lineRule="auto" w:line="360"/>
              <w:ind w:firstLine="422" w:firstLineChars="200"/>
              <w:jc w:val="center"/>
              <w:rPr>
                <w:rFonts w:ascii="Times New Roman" w:cs="Times New Roman" w:hAnsi="Times New Roman"/>
                <w:szCs w:val="21"/>
              </w:rPr>
            </w:pPr>
            <w:r>
              <w:rPr>
                <w:rFonts w:ascii="Times New Roman" w:cs="Times New Roman" w:hAnsi="Times New Roman" w:hint="eastAsia"/>
                <w:b/>
                <w:bCs/>
                <w:szCs w:val="21"/>
              </w:rPr>
              <w:t>测试性能</w:t>
            </w:r>
          </w:p>
        </w:tc>
      </w:tr>
      <w:tr>
        <w:tblPrEx/>
        <w:trPr>
          <w:trHeight w:val="624" w:hRule="atLeast"/>
          <w:jc w:val="center"/>
        </w:trPr>
        <w:tc>
          <w:tcPr>
            <w:tcW w:w="3140" w:type="dxa"/>
            <w:tcBorders>
              <w:top w:val="single" w:sz="8" w:space="0" w:color="000000"/>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最低稳燃负荷</w:t>
            </w:r>
          </w:p>
        </w:tc>
        <w:tc>
          <w:tcPr>
            <w:tcW w:w="2181" w:type="dxa"/>
            <w:tcBorders>
              <w:top w:val="single" w:sz="8" w:space="0" w:color="000000"/>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国家能源局提出，在2030年前实现20%深调</w:t>
            </w:r>
          </w:p>
        </w:tc>
        <w:tc>
          <w:tcPr>
            <w:tcW w:w="2183" w:type="dxa"/>
            <w:tcBorders>
              <w:top w:val="single" w:sz="8" w:space="0" w:color="000000"/>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2019年12月测试中最低负荷达到19.39%</w:t>
            </w:r>
          </w:p>
        </w:tc>
      </w:tr>
      <w:tr>
        <w:tblPrEx/>
        <w:trPr>
          <w:trHeight w:val="567" w:hRule="atLeast"/>
          <w:jc w:val="center"/>
        </w:trPr>
        <w:tc>
          <w:tcPr>
            <w:tcW w:w="3140"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从50%负荷降低至最低稳燃负荷时间</w:t>
            </w:r>
          </w:p>
        </w:tc>
        <w:tc>
          <w:tcPr>
            <w:tcW w:w="2181"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&lt;1.5 小时</w:t>
            </w:r>
          </w:p>
        </w:tc>
        <w:tc>
          <w:tcPr>
            <w:tcW w:w="2183"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1.28 小时</w:t>
            </w:r>
          </w:p>
        </w:tc>
      </w:tr>
      <w:tr>
        <w:tblPrEx/>
        <w:trPr>
          <w:trHeight w:val="380" w:hRule="atLeast"/>
          <w:jc w:val="center"/>
        </w:trPr>
        <w:tc>
          <w:tcPr>
            <w:tcW w:w="3140" w:type="dxa"/>
            <w:tcBorders>
              <w:top w:val="nil"/>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最低稳燃负荷持续时间</w:t>
            </w:r>
          </w:p>
        </w:tc>
        <w:tc>
          <w:tcPr>
            <w:tcW w:w="2181" w:type="dxa"/>
            <w:tcBorders>
              <w:top w:val="nil"/>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&gt;4 小时</w:t>
            </w:r>
          </w:p>
        </w:tc>
        <w:tc>
          <w:tcPr>
            <w:tcW w:w="2183" w:type="dxa"/>
            <w:tcBorders>
              <w:top w:val="nil"/>
              <w:left w:val="nil"/>
              <w:bottom w:val="nil"/>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4.08 小时</w:t>
            </w:r>
          </w:p>
        </w:tc>
      </w:tr>
      <w:tr>
        <w:tblPrEx/>
        <w:trPr>
          <w:trHeight w:val="458" w:hRule="atLeast"/>
          <w:jc w:val="center"/>
        </w:trPr>
        <w:tc>
          <w:tcPr>
            <w:tcW w:w="3140"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从最低稳燃负荷升高至50%负荷时间</w:t>
            </w:r>
          </w:p>
        </w:tc>
        <w:tc>
          <w:tcPr>
            <w:tcW w:w="2181"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&lt;1 小时</w:t>
            </w:r>
          </w:p>
        </w:tc>
        <w:tc>
          <w:tcPr>
            <w:tcW w:w="2183" w:type="dxa"/>
            <w:tcBorders>
              <w:top w:val="nil"/>
              <w:left w:val="nil"/>
              <w:bottom w:val="nil"/>
              <w:right w:val="nil"/>
            </w:tcBorders>
            <w:shd w:val="clear" w:color="auto" w:fill="auto"/>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0.67 小时</w:t>
            </w:r>
          </w:p>
        </w:tc>
      </w:tr>
      <w:tr>
        <w:tblPrEx/>
        <w:trPr>
          <w:trHeight w:val="455" w:hRule="atLeast"/>
          <w:jc w:val="center"/>
        </w:trPr>
        <w:tc>
          <w:tcPr>
            <w:tcW w:w="3140" w:type="dxa"/>
            <w:tcBorders>
              <w:top w:val="nil"/>
              <w:left w:val="nil"/>
              <w:bottom w:val="single" w:sz="8" w:space="0" w:color="000000"/>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大气污染物排放指标</w:t>
            </w:r>
          </w:p>
        </w:tc>
        <w:tc>
          <w:tcPr>
            <w:tcW w:w="2181" w:type="dxa"/>
            <w:tcBorders>
              <w:top w:val="nil"/>
              <w:left w:val="nil"/>
              <w:bottom w:val="single" w:sz="8" w:space="0" w:color="000000"/>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粉尘&lt;10mg/m</w:t>
            </w:r>
            <w:r>
              <w:rPr>
                <w:rFonts w:ascii="Times New Roman" w:cs="Times New Roman" w:hAnsi="Times New Roman" w:hint="eastAsia"/>
                <w:szCs w:val="21"/>
                <w:vertAlign w:val="superscript"/>
              </w:rPr>
              <w:t>3</w:t>
            </w:r>
          </w:p>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SO</w:t>
            </w:r>
            <w:r>
              <w:rPr>
                <w:rFonts w:ascii="Times New Roman" w:cs="Times New Roman" w:hAnsi="Times New Roman" w:hint="eastAsia"/>
                <w:szCs w:val="21"/>
                <w:vertAlign w:val="subscript"/>
              </w:rPr>
              <w:t>2</w:t>
            </w:r>
            <w:r>
              <w:rPr>
                <w:rFonts w:ascii="Times New Roman" w:cs="Times New Roman" w:hAnsi="Times New Roman" w:hint="eastAsia"/>
                <w:szCs w:val="21"/>
              </w:rPr>
              <w:t>&lt;35mg/m</w:t>
            </w:r>
            <w:r>
              <w:rPr>
                <w:rFonts w:ascii="Times New Roman" w:cs="Times New Roman" w:hAnsi="Times New Roman" w:hint="eastAsia"/>
                <w:szCs w:val="21"/>
                <w:vertAlign w:val="superscript"/>
              </w:rPr>
              <w:t>3</w:t>
            </w:r>
          </w:p>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NOx&lt;50mg/m</w:t>
            </w:r>
            <w:r>
              <w:rPr>
                <w:rFonts w:ascii="Times New Roman" w:cs="Times New Roman" w:hAnsi="Times New Roman" w:hint="eastAsia"/>
                <w:szCs w:val="21"/>
                <w:vertAlign w:val="superscript"/>
              </w:rPr>
              <w:t>3</w:t>
            </w:r>
          </w:p>
        </w:tc>
        <w:tc>
          <w:tcPr>
            <w:tcW w:w="2183" w:type="dxa"/>
            <w:tcBorders>
              <w:top w:val="nil"/>
              <w:left w:val="nil"/>
              <w:bottom w:val="single" w:sz="8" w:space="0" w:color="000000"/>
              <w:right w:val="nil"/>
            </w:tcBorders>
            <w:shd w:val="clear" w:color="auto" w:fill="e7e7e7"/>
            <w:tcMar>
              <w:top w:w="15" w:type="dxa"/>
              <w:left w:w="108" w:type="dxa"/>
              <w:bottom w:w="0" w:type="dxa"/>
              <w:right w:w="108" w:type="dxa"/>
            </w:tcMar>
            <w:vAlign w:val="center"/>
          </w:tcPr>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粉尘 0.95mg/m</w:t>
            </w:r>
            <w:r>
              <w:rPr>
                <w:rFonts w:ascii="Times New Roman" w:cs="Times New Roman" w:hAnsi="Times New Roman" w:hint="eastAsia"/>
                <w:szCs w:val="21"/>
                <w:vertAlign w:val="superscript"/>
              </w:rPr>
              <w:t>3</w:t>
            </w:r>
          </w:p>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SO</w:t>
            </w:r>
            <w:r>
              <w:rPr>
                <w:rFonts w:ascii="Times New Roman" w:cs="Times New Roman" w:hAnsi="Times New Roman" w:hint="eastAsia"/>
                <w:szCs w:val="21"/>
                <w:vertAlign w:val="subscript"/>
              </w:rPr>
              <w:t>2</w:t>
            </w:r>
            <w:r>
              <w:rPr>
                <w:rFonts w:ascii="Times New Roman" w:cs="Times New Roman" w:hAnsi="Times New Roman" w:hint="eastAsia"/>
                <w:szCs w:val="21"/>
              </w:rPr>
              <w:t xml:space="preserve"> 3.3mg/m</w:t>
            </w:r>
            <w:r>
              <w:rPr>
                <w:rFonts w:ascii="Times New Roman" w:cs="Times New Roman" w:hAnsi="Times New Roman" w:hint="eastAsia"/>
                <w:szCs w:val="21"/>
                <w:vertAlign w:val="superscript"/>
              </w:rPr>
              <w:t>3</w:t>
            </w:r>
          </w:p>
          <w:p>
            <w:pPr>
              <w:pStyle w:val="style0"/>
              <w:spacing w:lineRule="auto" w:line="360"/>
              <w:ind w:firstLine="420" w:firstLineChars="200"/>
              <w:jc w:val="center"/>
              <w:rPr>
                <w:rFonts w:ascii="Times New Roman" w:cs="Times New Roman" w:hAnsi="Times New Roman"/>
                <w:szCs w:val="21"/>
              </w:rPr>
            </w:pPr>
            <w:r>
              <w:rPr>
                <w:rFonts w:ascii="Times New Roman" w:cs="Times New Roman" w:hAnsi="Times New Roman" w:hint="eastAsia"/>
                <w:szCs w:val="21"/>
              </w:rPr>
              <w:t>NOx 28.6mg/m</w:t>
            </w:r>
            <w:r>
              <w:rPr>
                <w:rFonts w:ascii="Times New Roman" w:cs="Times New Roman" w:hAnsi="Times New Roman" w:hint="eastAsia"/>
                <w:szCs w:val="21"/>
                <w:vertAlign w:val="superscript"/>
              </w:rPr>
              <w:t>3</w:t>
            </w:r>
          </w:p>
        </w:tc>
      </w:tr>
    </w:tbl>
    <w:p>
      <w:pPr>
        <w:pStyle w:val="style0"/>
        <w:rPr>
          <w:rFonts w:hint="default"/>
          <w:sz w:val="30"/>
          <w:szCs w:val="30"/>
          <w:lang w:val="en-US" w:eastAsia="zh-CN"/>
        </w:rPr>
      </w:pPr>
    </w:p>
    <w:p>
      <w:pPr>
        <w:pStyle w:val="style0"/>
        <w:ind w:firstLine="600" w:firstLineChars="200"/>
        <w:rPr>
          <w:rFonts w:hint="default"/>
          <w:sz w:val="30"/>
          <w:szCs w:val="30"/>
          <w:lang w:val="en-US" w:eastAsia="zh-CN"/>
        </w:rPr>
      </w:pPr>
      <w:r>
        <w:rPr>
          <w:rFonts w:hint="default"/>
          <w:sz w:val="30"/>
          <w:szCs w:val="30"/>
          <w:lang w:val="en-US" w:eastAsia="zh-CN"/>
        </w:rPr>
        <w:t>2021年5月，全面应用申能科技相关技术的国家煤电示范项目“平二项目”——1350MW高低位分轴布置二次再热机组，在调试期间成功实现了20%负荷下干态运行（锅炉并未转湿态），此时根据在线数据机组煤耗约为320g/kWh，在尚未进行优化调整的情况下，也仅比额定工况煤耗升高约70g/kWh。在世界上单机容量最大的两次再热机组上成功实现20%深度调峰，尤其是锅炉保持干态运行的深度调峰，难度最大，标志着申能科技的20%深度调峰系列技术对各类容量和参数的煤电机组实现了全覆盖。</w:t>
      </w:r>
    </w:p>
    <w:p>
      <w:pPr>
        <w:pStyle w:val="style0"/>
        <w:ind w:firstLine="600" w:firstLineChars="200"/>
        <w:rPr>
          <w:rFonts w:hint="default"/>
          <w:sz w:val="30"/>
          <w:szCs w:val="30"/>
          <w:lang w:val="en-US" w:eastAsia="zh-CN"/>
        </w:rPr>
      </w:pPr>
      <w:r>
        <w:rPr>
          <w:rFonts w:hint="default"/>
          <w:sz w:val="30"/>
          <w:szCs w:val="30"/>
          <w:lang w:val="en-US" w:eastAsia="zh-CN"/>
        </w:rPr>
        <w:t>此外，由申能科技提供技术方案和改造咨询的申能吴忠电厂也已于2021年完成了机组热电解耦改造，改造后随着机组负荷变化（如AGC），工业供汽的可行汽源实现了无扰切换，既保证了机组连续对外供热，同时也提升了机组对外供热的安全性、灵活性和经济性。针对热电联产机组，申能科技还研发储备了其他安全经济可靠的热电解耦技术。</w:t>
      </w:r>
    </w:p>
    <w:p>
      <w:pPr>
        <w:pStyle w:val="style0"/>
        <w:ind w:firstLine="600" w:firstLineChars="200"/>
        <w:rPr>
          <w:rFonts w:hint="default"/>
          <w:sz w:val="30"/>
          <w:szCs w:val="30"/>
          <w:lang w:val="en-US" w:eastAsia="zh-CN"/>
        </w:rPr>
      </w:pPr>
      <w:r>
        <w:rPr>
          <w:rFonts w:hint="default"/>
          <w:sz w:val="30"/>
          <w:szCs w:val="30"/>
          <w:lang w:val="en-US" w:eastAsia="zh-CN"/>
        </w:rPr>
        <w:t>四、社会经济效益和推广前景</w:t>
      </w:r>
    </w:p>
    <w:p>
      <w:pPr>
        <w:pStyle w:val="style0"/>
        <w:ind w:firstLine="600" w:firstLineChars="200"/>
        <w:rPr>
          <w:rFonts w:hint="default"/>
          <w:sz w:val="30"/>
          <w:szCs w:val="30"/>
          <w:lang w:val="en-US" w:eastAsia="zh-CN"/>
        </w:rPr>
      </w:pPr>
      <w:r>
        <w:rPr>
          <w:rFonts w:hint="default"/>
          <w:sz w:val="30"/>
          <w:szCs w:val="30"/>
          <w:lang w:val="en-US" w:eastAsia="zh-CN"/>
        </w:rPr>
        <w:t>“先进安全环保的煤电机组20%深度调峰系列技术”具有自主知识产权，可有力提升我国煤电机组的灵活性。</w:t>
      </w:r>
    </w:p>
    <w:p>
      <w:pPr>
        <w:pStyle w:val="style0"/>
        <w:ind w:firstLine="600" w:firstLineChars="200"/>
        <w:rPr>
          <w:rFonts w:hint="default"/>
          <w:sz w:val="30"/>
          <w:szCs w:val="30"/>
          <w:lang w:val="en-US" w:eastAsia="zh-CN"/>
        </w:rPr>
      </w:pPr>
      <w:r>
        <w:rPr>
          <w:rFonts w:hint="default"/>
          <w:sz w:val="30"/>
          <w:szCs w:val="30"/>
          <w:lang w:val="en-US" w:eastAsia="zh-CN"/>
        </w:rPr>
        <w:t>若在我国现役装机约3.5亿千瓦的亚临界机组中全面推广应用该技术，可创造出至少7000万千瓦调峰容量，可增加风光新能源装机容量高达3.5亿千瓦以上（按5倍杠杆考虑）；若进一步在我国现役约11亿千瓦的煤电机组中全面推广，则可创造出更大的调峰容量。这将大幅提升新能源和煤电的兼容性，进一步降低我国电力行业的碳排放，同时有力保障电网安全和能源安全，助力电力行业高质量实现“双碳目标”。</w:t>
      </w:r>
    </w:p>
    <w:p>
      <w:pPr>
        <w:pStyle w:val="style0"/>
        <w:ind w:firstLine="602" w:firstLineChars="200"/>
        <w:rPr>
          <w:rFonts w:hint="eastAsia"/>
          <w:b/>
          <w:bCs/>
          <w:sz w:val="30"/>
          <w:szCs w:val="30"/>
          <w:lang w:val="en-US" w:eastAsia="zh-CN"/>
        </w:rPr>
      </w:pPr>
      <w:r>
        <w:rPr>
          <w:rFonts w:hint="eastAsia"/>
          <w:b/>
          <w:bCs/>
          <w:sz w:val="30"/>
          <w:szCs w:val="30"/>
          <w:lang w:val="en-US" w:eastAsia="zh-CN"/>
        </w:rPr>
        <w:t>附：证明材料及荣誉奖项</w:t>
      </w:r>
    </w:p>
    <w:p>
      <w:pPr>
        <w:pStyle w:val="style0"/>
        <w:ind w:left="596" w:leftChars="284" w:firstLine="0" w:firstLineChars="0"/>
        <w:rPr>
          <w:rFonts w:hint="eastAsia"/>
          <w:b/>
          <w:bCs/>
          <w:sz w:val="30"/>
          <w:szCs w:val="30"/>
        </w:rPr>
      </w:pPr>
      <w:r>
        <w:rPr>
          <w:rFonts w:hint="eastAsia"/>
          <w:b/>
          <w:bCs/>
          <w:sz w:val="30"/>
          <w:szCs w:val="30"/>
        </w:rPr>
        <w:t>公示一：徐州华润有限公司3号机组深度调峰出力确认试验报告</w:t>
      </w:r>
    </w:p>
    <w:p>
      <w:pPr>
        <w:pStyle w:val="style0"/>
        <w:rPr/>
      </w:pPr>
    </w:p>
    <w:sectPr>
      <w:footerReference w:type="default" r:id="rId2"/>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1"/>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8"/>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kern w:val="2"/>
      <w:sz w:val="21"/>
      <w:szCs w:val="2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Words>3162</Words>
  <Pages>7</Pages>
  <Characters>3431</Characters>
  <Application>WPS Office</Application>
  <DocSecurity>0</DocSecurity>
  <Paragraphs>79</Paragraphs>
  <ScaleCrop>false</ScaleCrop>
  <LinksUpToDate>false</LinksUpToDate>
  <CharactersWithSpaces>3569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2023-04-23T04:12:00Z</dcterms:created>
  <dc:creator>明贵栋</dc:creator>
  <lastModifiedBy>JAD-AL50</lastModifiedBy>
  <dcterms:modified xsi:type="dcterms:W3CDTF">2023-08-04T03:10:35Z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B497F1D9F8984A328723CA8C78D8377B_11</vt:lpwstr>
  </property>
</Properties>
</file>